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Superintendencia de Inteligencia Criminal.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85300"/>
                          <a:ext cx="6068695" cy="408379"/>
                          <a:chOff x="2311650" y="3585300"/>
                          <a:chExt cx="6068700" cy="389400"/>
                        </a:xfrm>
                      </wpg:grpSpPr>
                      <wpg:grpSp>
                        <wpg:cNvGrpSpPr/>
                        <wpg:grpSpPr>
                          <a:xfrm>
                            <a:off x="2311655" y="3585322"/>
                            <a:ext cx="6068690" cy="389357"/>
                            <a:chOff x="2311653" y="359458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370825"/>
                              <a:chOff x="0" y="0"/>
                              <a:chExt cx="6068695" cy="3708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3"/>
                                <a:ext cx="6068695" cy="364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Curso de conducción y supervisión de unidades de inteligencia criminal.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408379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408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Descripción:</w:t>
      </w:r>
    </w:p>
    <w:p w:rsidR="00000000" w:rsidDel="00000000" w:rsidP="00000000" w:rsidRDefault="00000000" w:rsidRPr="00000000" w14:paraId="00000005">
      <w:pPr>
        <w:pStyle w:val="Heading1"/>
        <w:spacing w:before="1" w:line="360" w:lineRule="auto"/>
        <w:ind w:firstLine="143"/>
        <w:jc w:val="both"/>
        <w:rPr>
          <w:rFonts w:ascii="Arial" w:cs="Arial" w:eastAsia="Arial" w:hAnsi="Arial"/>
          <w:b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Esta capacitación, dirigida específicamente a oficiales jefes, se centra en la conducción y supervisión de Unidades de Inteligencia Criminal. Se focaliza en el desarrollo de habilidades de liderazgo y gestión para que puedan conducir equipos de trabajo de manera efectiva, optimizando la organización, motivación y supervisión del personal a cargo. Asimismo, se busca que los oficiales jefes desarrollen la capacidad de tomar decisiones estratégicas mediante el análisis de información, la evaluación de riesgos y la planificación de operativos con eficacia. La gestión eficiente de recursos, tanto humanos como tecnológicos y financieros, también forma parte de los ejes centrales de esta capacitación. Se hace hincapié en la importancia de promover la coordinación y la colaboración, fortaleciendo el trabajo en equipo y la interacción con otras áreas y fuerzas de seguridad.</w:t>
      </w:r>
    </w:p>
    <w:p w:rsidR="00000000" w:rsidDel="00000000" w:rsidP="00000000" w:rsidRDefault="00000000" w:rsidRPr="00000000" w14:paraId="00000006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8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 de la Superintendencia de Inteligencia Criminal que ostente cargo y/o función de coordinador, director, delegado, 2do jefe de delegación, jefe de división, subdelegado o jefe de sección.</w:t>
      </w:r>
    </w:p>
    <w:p w:rsidR="00000000" w:rsidDel="00000000" w:rsidP="00000000" w:rsidRDefault="00000000" w:rsidRPr="00000000" w14:paraId="00000009">
      <w:pPr>
        <w:spacing w:line="360" w:lineRule="auto"/>
        <w:ind w:left="143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semipresencial.</w:t>
      </w:r>
    </w:p>
    <w:p w:rsidR="00000000" w:rsidDel="00000000" w:rsidP="00000000" w:rsidRDefault="00000000" w:rsidRPr="00000000" w14:paraId="0000000B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64 horas reloj.</w:t>
      </w:r>
    </w:p>
    <w:p w:rsidR="00000000" w:rsidDel="00000000" w:rsidP="00000000" w:rsidRDefault="00000000" w:rsidRPr="00000000" w14:paraId="0000000D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2 ediciones.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426"/>
        </w:tabs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edición: mayo. 2º edición: agosto.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40 por edición.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7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Correo electrónico: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divisioncontrainteligencia@mseg.gba.gov.ar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7"/>
        </w:tabs>
        <w:spacing w:before="42" w:line="360" w:lineRule="auto"/>
        <w:ind w:left="566.9291338582675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Teléfono: 429-3000 interno 75036.</w:t>
      </w:r>
    </w:p>
    <w:sectPr>
      <w:pgSz w:h="16840" w:w="11910" w:orient="portrait"/>
      <w:pgMar w:bottom="1418" w:top="1418" w:left="1418" w:right="1134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566.9291338582675" w:hanging="359.99999999999994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72681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72681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ivisioncontrainteligencia@mseg.gba.gov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r0ACqdWOOynoNFUWXMaiHPDeA==">CgMxLjA4AHIhMVlmWGlob3lQUVFVbWtVSTNnR1NKdThpMFo1NzVGWkRB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2025-05-07T04:06:00Z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